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5550" w:rsidP="22502B61" w:rsidRDefault="7955EA66" w14:paraId="4EEEE70F" w14:textId="77777777">
      <w:pPr>
        <w:pStyle w:val="BodyText"/>
        <w:spacing w:line="240" w:lineRule="auto"/>
        <w:jc w:val="center"/>
        <w:rPr>
          <w:rStyle w:val="StrongEmphasis"/>
          <w:rFonts w:ascii="Aptos" w:hAnsi="Aptos" w:eastAsia="Aptos" w:cs="Aptos"/>
        </w:rPr>
      </w:pPr>
      <w:r w:rsidRPr="22502B61">
        <w:rPr>
          <w:rStyle w:val="StrongEmphasis"/>
          <w:rFonts w:ascii="Aptos" w:hAnsi="Aptos" w:eastAsia="Aptos" w:cs="Aptos"/>
        </w:rPr>
        <w:t>Epicentre / Médecins Sans Frontières (MSF)</w:t>
      </w:r>
    </w:p>
    <w:p w:rsidR="000D5550" w:rsidP="22502B61" w:rsidRDefault="7955EA66" w14:paraId="3E22F7C7" w14:textId="77777777">
      <w:pPr>
        <w:pStyle w:val="Heading2"/>
        <w:jc w:val="center"/>
        <w:rPr>
          <w:rStyle w:val="StrongEmphasis"/>
          <w:rFonts w:ascii="Aptos" w:hAnsi="Aptos" w:eastAsia="Aptos" w:cs="Aptos"/>
          <w:b/>
          <w:bCs/>
          <w:sz w:val="24"/>
          <w:szCs w:val="24"/>
        </w:rPr>
      </w:pPr>
      <w:r w:rsidRPr="22502B61">
        <w:rPr>
          <w:rStyle w:val="StrongEmphasis"/>
          <w:rFonts w:ascii="Aptos" w:hAnsi="Aptos" w:eastAsia="Aptos" w:cs="Aptos"/>
          <w:b/>
          <w:bCs/>
          <w:sz w:val="24"/>
          <w:szCs w:val="24"/>
        </w:rPr>
        <w:t>Retrospective Mortality Survey in Gaza</w:t>
      </w:r>
    </w:p>
    <w:p w:rsidR="000D5550" w:rsidP="22502B61" w:rsidRDefault="000D5550" w14:paraId="2EC4793C" w14:textId="4F93FDDA">
      <w:pPr>
        <w:pStyle w:val="BodyText"/>
        <w:spacing w:line="240" w:lineRule="auto"/>
        <w:rPr>
          <w:rStyle w:val="StrongEmphasis"/>
          <w:rFonts w:ascii="Aptos" w:hAnsi="Aptos" w:eastAsia="Aptos" w:cs="Aptos"/>
          <w:sz w:val="22"/>
          <w:szCs w:val="22"/>
        </w:rPr>
      </w:pPr>
      <w:r>
        <w:br/>
      </w:r>
      <w:r w:rsidRPr="22502B61" w:rsidR="7955EA66">
        <w:rPr>
          <w:rStyle w:val="StrongEmphasis"/>
          <w:rFonts w:ascii="Aptos" w:hAnsi="Aptos" w:eastAsia="Aptos" w:cs="Aptos"/>
        </w:rPr>
        <w:t>Background and objective</w:t>
      </w:r>
    </w:p>
    <w:p w:rsidR="000D5550" w:rsidP="22502B61" w:rsidRDefault="7955EA66" w14:paraId="426BCF2F" w14:textId="580521B4">
      <w:pPr>
        <w:pStyle w:val="CommentText"/>
        <w:rPr>
          <w:rFonts w:ascii="Aptos" w:hAnsi="Aptos" w:eastAsia="Aptos" w:cs="Aptos"/>
          <w:sz w:val="22"/>
          <w:szCs w:val="22"/>
        </w:rPr>
      </w:pPr>
      <w:r w:rsidRPr="22502B61">
        <w:rPr>
          <w:rFonts w:ascii="Aptos" w:hAnsi="Aptos" w:eastAsia="Aptos" w:cs="Aptos"/>
          <w:sz w:val="22"/>
          <w:szCs w:val="22"/>
        </w:rPr>
        <w:t xml:space="preserve">After more than </w:t>
      </w:r>
      <w:r w:rsidRPr="22502B61" w:rsidR="5DF7688B">
        <w:rPr>
          <w:rFonts w:ascii="Aptos" w:hAnsi="Aptos" w:eastAsia="Aptos" w:cs="Aptos"/>
          <w:sz w:val="22"/>
          <w:szCs w:val="22"/>
        </w:rPr>
        <w:t xml:space="preserve">15 </w:t>
      </w:r>
      <w:r w:rsidRPr="22502B61">
        <w:rPr>
          <w:rFonts w:ascii="Aptos" w:hAnsi="Aptos" w:eastAsia="Aptos" w:cs="Aptos"/>
          <w:sz w:val="22"/>
          <w:szCs w:val="22"/>
        </w:rPr>
        <w:t>months of the genocidal campaign carried out by the Israeli forces in Gaza, Epicentre/Médecins Sans Frontières (MSF) conducted a retrospective mortality survey among part of its Palestinian staff in Gaza and their household members. The aim was to quantify mortality and morbidity within this group, understand access to healthcare services, and provide evidence for advocacy efforts</w:t>
      </w:r>
      <w:r w:rsidRPr="22502B61" w:rsidR="46A15CC2">
        <w:rPr>
          <w:rFonts w:ascii="Aptos" w:hAnsi="Aptos" w:eastAsia="Aptos" w:cs="Aptos"/>
          <w:sz w:val="22"/>
          <w:szCs w:val="22"/>
        </w:rPr>
        <w:t xml:space="preserve"> to call for a ceasefire, which we have repeated for months.</w:t>
      </w:r>
    </w:p>
    <w:p w:rsidRPr="000E5236" w:rsidR="000E5236" w:rsidP="22502B61" w:rsidRDefault="000E5236" w14:paraId="19A54029" w14:textId="77777777">
      <w:pPr>
        <w:pStyle w:val="CommentText"/>
        <w:rPr>
          <w:rFonts w:ascii="Aptos" w:hAnsi="Aptos" w:eastAsia="Aptos" w:cs="Aptos"/>
          <w:sz w:val="22"/>
          <w:szCs w:val="22"/>
        </w:rPr>
      </w:pPr>
    </w:p>
    <w:p w:rsidR="000D5550" w:rsidP="22502B61" w:rsidRDefault="7955EA66" w14:paraId="1483A024" w14:textId="71C89344">
      <w:pPr>
        <w:pStyle w:val="BodyText"/>
        <w:spacing w:line="240" w:lineRule="auto"/>
        <w:jc w:val="both"/>
        <w:rPr>
          <w:rFonts w:ascii="Aptos" w:hAnsi="Aptos" w:eastAsia="Aptos" w:cs="Aptos"/>
          <w:sz w:val="22"/>
          <w:szCs w:val="22"/>
        </w:rPr>
      </w:pPr>
      <w:r w:rsidRPr="22502B61">
        <w:rPr>
          <w:rFonts w:ascii="Aptos" w:hAnsi="Aptos" w:eastAsia="Aptos" w:cs="Aptos"/>
          <w:sz w:val="22"/>
          <w:szCs w:val="22"/>
        </w:rPr>
        <w:t>The primary objective of the survey was to estimate the crude mortality rate and identify the main causes of death among MSF national staff and their families in Gaza since 7 October 2023. Secondary objectives included assessing the prevalence of injuries and recent illnesses and describing access to care (including treatment of chronic conditions) during the conflict.</w:t>
      </w:r>
    </w:p>
    <w:p w:rsidR="000D5550" w:rsidP="22502B61" w:rsidRDefault="7955EA66" w14:paraId="18A339AE" w14:textId="77777777">
      <w:pPr>
        <w:pStyle w:val="Heading3"/>
        <w:rPr>
          <w:rStyle w:val="StrongEmphasis"/>
          <w:rFonts w:ascii="Aptos" w:hAnsi="Aptos" w:eastAsia="Aptos" w:cs="Aptos"/>
          <w:b/>
          <w:bCs/>
          <w:sz w:val="24"/>
          <w:szCs w:val="24"/>
        </w:rPr>
      </w:pPr>
      <w:r w:rsidRPr="22502B61">
        <w:rPr>
          <w:rStyle w:val="StrongEmphasis"/>
          <w:rFonts w:ascii="Aptos" w:hAnsi="Aptos" w:eastAsia="Aptos" w:cs="Aptos"/>
          <w:b/>
          <w:bCs/>
          <w:sz w:val="24"/>
          <w:szCs w:val="24"/>
        </w:rPr>
        <w:t>Methodology</w:t>
      </w:r>
    </w:p>
    <w:p w:rsidR="000D5550" w:rsidP="22502B61" w:rsidRDefault="7955EA66" w14:paraId="48E88F51" w14:textId="77777777">
      <w:pPr>
        <w:pStyle w:val="BodyText"/>
        <w:numPr>
          <w:ilvl w:val="0"/>
          <w:numId w:val="2"/>
        </w:numPr>
        <w:tabs>
          <w:tab w:val="left" w:pos="707"/>
        </w:tabs>
        <w:spacing w:line="240" w:lineRule="auto"/>
        <w:rPr>
          <w:rFonts w:ascii="Aptos" w:hAnsi="Aptos" w:eastAsia="Aptos" w:cs="Aptos"/>
          <w:sz w:val="22"/>
          <w:szCs w:val="22"/>
        </w:rPr>
      </w:pPr>
      <w:r w:rsidRPr="22502B61">
        <w:rPr>
          <w:rStyle w:val="StrongEmphasis"/>
          <w:rFonts w:ascii="Aptos" w:hAnsi="Aptos" w:eastAsia="Aptos" w:cs="Aptos"/>
          <w:sz w:val="22"/>
          <w:szCs w:val="22"/>
        </w:rPr>
        <w:t>Study Design:</w:t>
      </w:r>
      <w:r w:rsidRPr="22502B61">
        <w:rPr>
          <w:rFonts w:ascii="Aptos" w:hAnsi="Aptos" w:eastAsia="Aptos" w:cs="Aptos"/>
          <w:sz w:val="22"/>
          <w:szCs w:val="22"/>
        </w:rPr>
        <w:t xml:space="preserve"> Cross-sectional retrospective mortality survey.</w:t>
      </w:r>
    </w:p>
    <w:p w:rsidR="000D5550" w:rsidP="22502B61" w:rsidRDefault="7955EA66" w14:paraId="1CCEFEBA" w14:textId="77777777">
      <w:pPr>
        <w:pStyle w:val="BodyText"/>
        <w:numPr>
          <w:ilvl w:val="0"/>
          <w:numId w:val="2"/>
        </w:numPr>
        <w:tabs>
          <w:tab w:val="left" w:pos="707"/>
        </w:tabs>
        <w:spacing w:line="240" w:lineRule="auto"/>
        <w:rPr>
          <w:rFonts w:ascii="Aptos" w:hAnsi="Aptos" w:eastAsia="Aptos" w:cs="Aptos"/>
          <w:sz w:val="22"/>
          <w:szCs w:val="22"/>
        </w:rPr>
      </w:pPr>
      <w:r w:rsidRPr="22502B61">
        <w:rPr>
          <w:rStyle w:val="StrongEmphasis"/>
          <w:rFonts w:ascii="Aptos" w:hAnsi="Aptos" w:eastAsia="Aptos" w:cs="Aptos"/>
          <w:sz w:val="22"/>
          <w:szCs w:val="22"/>
        </w:rPr>
        <w:t>Population:</w:t>
      </w:r>
      <w:r w:rsidRPr="22502B61">
        <w:rPr>
          <w:rFonts w:ascii="Aptos" w:hAnsi="Aptos" w:eastAsia="Aptos" w:cs="Aptos"/>
          <w:sz w:val="22"/>
          <w:szCs w:val="22"/>
        </w:rPr>
        <w:t xml:space="preserve"> 436 Palestinians households, all from MSF’s national staff. These households comprise a total of 2,523 individuals. Eligible households included all individuals living in the home one week before the war began, as well as children born during the conflict period. </w:t>
      </w:r>
    </w:p>
    <w:p w:rsidR="000D5550" w:rsidP="22502B61" w:rsidRDefault="7955EA66" w14:paraId="4C0EF96A" w14:textId="77777777">
      <w:pPr>
        <w:pStyle w:val="BodyText"/>
        <w:numPr>
          <w:ilvl w:val="0"/>
          <w:numId w:val="2"/>
        </w:numPr>
        <w:tabs>
          <w:tab w:val="left" w:pos="707"/>
        </w:tabs>
        <w:spacing w:line="240" w:lineRule="auto"/>
        <w:rPr>
          <w:rFonts w:ascii="Aptos" w:hAnsi="Aptos" w:eastAsia="Aptos" w:cs="Aptos"/>
          <w:sz w:val="22"/>
          <w:szCs w:val="22"/>
        </w:rPr>
      </w:pPr>
      <w:r w:rsidRPr="22502B61">
        <w:rPr>
          <w:rStyle w:val="StrongEmphasis"/>
          <w:rFonts w:ascii="Aptos" w:hAnsi="Aptos" w:eastAsia="Aptos" w:cs="Aptos"/>
          <w:sz w:val="22"/>
          <w:szCs w:val="22"/>
        </w:rPr>
        <w:t>Survey Period:</w:t>
      </w:r>
      <w:r w:rsidRPr="22502B61">
        <w:rPr>
          <w:rFonts w:ascii="Aptos" w:hAnsi="Aptos" w:eastAsia="Aptos" w:cs="Aptos"/>
          <w:sz w:val="22"/>
          <w:szCs w:val="22"/>
        </w:rPr>
        <w:t xml:space="preserve"> January 29 – March 26, 2025.</w:t>
      </w:r>
    </w:p>
    <w:p w:rsidR="000D5550" w:rsidP="22502B61" w:rsidRDefault="7955EA66" w14:paraId="75833B29" w14:textId="77777777">
      <w:pPr>
        <w:pStyle w:val="BodyText"/>
        <w:numPr>
          <w:ilvl w:val="0"/>
          <w:numId w:val="2"/>
        </w:numPr>
        <w:tabs>
          <w:tab w:val="left" w:pos="707"/>
        </w:tabs>
        <w:spacing w:line="240" w:lineRule="auto"/>
        <w:rPr>
          <w:rFonts w:ascii="Aptos" w:hAnsi="Aptos" w:eastAsia="Aptos" w:cs="Aptos"/>
          <w:sz w:val="22"/>
          <w:szCs w:val="22"/>
        </w:rPr>
      </w:pPr>
      <w:r w:rsidRPr="22502B61">
        <w:rPr>
          <w:rStyle w:val="StrongEmphasis"/>
          <w:rFonts w:ascii="Aptos" w:hAnsi="Aptos" w:eastAsia="Aptos" w:cs="Aptos"/>
          <w:sz w:val="22"/>
          <w:szCs w:val="22"/>
        </w:rPr>
        <w:t>Recall Period:</w:t>
      </w:r>
      <w:r w:rsidRPr="22502B61">
        <w:rPr>
          <w:rFonts w:ascii="Aptos" w:hAnsi="Aptos" w:eastAsia="Aptos" w:cs="Aptos"/>
          <w:sz w:val="22"/>
          <w:szCs w:val="22"/>
        </w:rPr>
        <w:t xml:space="preserve"> October 7, 2023 – interview date.</w:t>
      </w:r>
    </w:p>
    <w:p w:rsidR="000D5550" w:rsidP="22502B61" w:rsidRDefault="7955EA66" w14:paraId="71B43080" w14:textId="0700359A">
      <w:pPr>
        <w:pStyle w:val="BodyText"/>
        <w:numPr>
          <w:ilvl w:val="0"/>
          <w:numId w:val="2"/>
        </w:numPr>
        <w:tabs>
          <w:tab w:val="left" w:pos="707"/>
        </w:tabs>
        <w:spacing w:line="240" w:lineRule="auto"/>
        <w:rPr>
          <w:rFonts w:ascii="Aptos" w:hAnsi="Aptos" w:eastAsia="Aptos" w:cs="Aptos"/>
          <w:sz w:val="22"/>
          <w:szCs w:val="22"/>
        </w:rPr>
      </w:pPr>
      <w:r w:rsidRPr="22502B61">
        <w:rPr>
          <w:rStyle w:val="StrongEmphasis"/>
          <w:rFonts w:ascii="Aptos" w:hAnsi="Aptos" w:eastAsia="Aptos" w:cs="Aptos"/>
          <w:sz w:val="22"/>
          <w:szCs w:val="22"/>
        </w:rPr>
        <w:t>Data Collected:</w:t>
      </w:r>
      <w:r w:rsidRPr="22502B61">
        <w:rPr>
          <w:rFonts w:ascii="Aptos" w:hAnsi="Aptos" w:eastAsia="Aptos" w:cs="Aptos"/>
          <w:sz w:val="22"/>
          <w:szCs w:val="22"/>
        </w:rPr>
        <w:t xml:space="preserve"> The structured questionnaire collected information on household composition, deaths, injuries, recent illnesses, chronic diseases, and maternal care. Deaths reported by survey respondents were matched (by ID, name and birth date) with the Gaza Ministry of Health’s publicly available database of violent deaths.</w:t>
      </w:r>
    </w:p>
    <w:p w:rsidR="000D5550" w:rsidP="22502B61" w:rsidRDefault="7955EA66" w14:paraId="28B5A4C6" w14:textId="77777777">
      <w:pPr>
        <w:pStyle w:val="Heading3"/>
        <w:rPr>
          <w:rStyle w:val="StrongEmphasis"/>
          <w:rFonts w:ascii="Aptos" w:hAnsi="Aptos" w:eastAsia="Aptos" w:cs="Aptos"/>
          <w:b/>
          <w:bCs/>
          <w:sz w:val="24"/>
          <w:szCs w:val="24"/>
        </w:rPr>
      </w:pPr>
      <w:r w:rsidRPr="22502B61">
        <w:rPr>
          <w:rStyle w:val="StrongEmphasis"/>
          <w:rFonts w:ascii="Aptos" w:hAnsi="Aptos" w:eastAsia="Aptos" w:cs="Aptos"/>
          <w:b/>
          <w:bCs/>
          <w:sz w:val="24"/>
          <w:szCs w:val="24"/>
        </w:rPr>
        <w:t>Key Findings</w:t>
      </w:r>
    </w:p>
    <w:p w:rsidR="000D5550" w:rsidP="22502B61" w:rsidRDefault="7955EA66" w14:paraId="5B7F0696" w14:textId="77777777">
      <w:pPr>
        <w:pStyle w:val="Heading3"/>
        <w:rPr>
          <w:rStyle w:val="StrongEmphasis"/>
          <w:rFonts w:ascii="Aptos" w:hAnsi="Aptos" w:eastAsia="Aptos" w:cs="Aptos"/>
          <w:b/>
          <w:bCs/>
          <w:sz w:val="22"/>
          <w:szCs w:val="22"/>
        </w:rPr>
      </w:pPr>
      <w:r w:rsidRPr="22502B61">
        <w:rPr>
          <w:rStyle w:val="StrongEmphasis"/>
          <w:rFonts w:ascii="Aptos" w:hAnsi="Aptos" w:eastAsia="Aptos" w:cs="Aptos"/>
          <w:b/>
          <w:bCs/>
          <w:sz w:val="22"/>
          <w:szCs w:val="22"/>
        </w:rPr>
        <w:t>Mortality Rates</w:t>
      </w:r>
    </w:p>
    <w:p w:rsidR="000D5550" w:rsidP="22502B61" w:rsidRDefault="7955EA66" w14:paraId="332C8D59" w14:textId="77777777">
      <w:pPr>
        <w:pStyle w:val="BodyText"/>
        <w:numPr>
          <w:ilvl w:val="0"/>
          <w:numId w:val="3"/>
        </w:numPr>
        <w:tabs>
          <w:tab w:val="left" w:pos="707"/>
        </w:tabs>
        <w:spacing w:line="240" w:lineRule="auto"/>
        <w:rPr>
          <w:rFonts w:ascii="Aptos" w:hAnsi="Aptos" w:eastAsia="Aptos" w:cs="Aptos"/>
          <w:sz w:val="22"/>
          <w:szCs w:val="22"/>
        </w:rPr>
      </w:pPr>
      <w:r w:rsidRPr="22502B61">
        <w:rPr>
          <w:rFonts w:ascii="Aptos" w:hAnsi="Aptos" w:eastAsia="Aptos" w:cs="Aptos"/>
          <w:sz w:val="22"/>
          <w:szCs w:val="22"/>
        </w:rPr>
        <w:t xml:space="preserve">The </w:t>
      </w:r>
      <w:r w:rsidRPr="22502B61">
        <w:rPr>
          <w:rStyle w:val="StrongEmphasis"/>
          <w:rFonts w:ascii="Aptos" w:hAnsi="Aptos" w:eastAsia="Aptos" w:cs="Aptos"/>
          <w:sz w:val="22"/>
          <w:szCs w:val="22"/>
        </w:rPr>
        <w:t>crude mortality rate</w:t>
      </w:r>
      <w:r w:rsidRPr="22502B61">
        <w:rPr>
          <w:rFonts w:ascii="Aptos" w:hAnsi="Aptos" w:eastAsia="Aptos" w:cs="Aptos"/>
          <w:sz w:val="22"/>
          <w:szCs w:val="22"/>
        </w:rPr>
        <w:t xml:space="preserve"> was </w:t>
      </w:r>
      <w:r w:rsidRPr="22502B61">
        <w:rPr>
          <w:rStyle w:val="StrongEmphasis"/>
          <w:rFonts w:ascii="Aptos" w:hAnsi="Aptos" w:eastAsia="Aptos" w:cs="Aptos"/>
          <w:sz w:val="22"/>
          <w:szCs w:val="22"/>
        </w:rPr>
        <w:t>0.41 deaths per 10,000 persons per day</w:t>
      </w:r>
      <w:r w:rsidRPr="22502B61">
        <w:rPr>
          <w:rFonts w:ascii="Aptos" w:hAnsi="Aptos" w:eastAsia="Aptos" w:cs="Aptos"/>
          <w:sz w:val="22"/>
          <w:szCs w:val="22"/>
        </w:rPr>
        <w:t xml:space="preserve">, which is approximately </w:t>
      </w:r>
      <w:r w:rsidRPr="22502B61">
        <w:rPr>
          <w:rStyle w:val="StrongEmphasis"/>
          <w:rFonts w:ascii="Aptos" w:hAnsi="Aptos" w:eastAsia="Aptos" w:cs="Aptos"/>
          <w:sz w:val="22"/>
          <w:szCs w:val="22"/>
        </w:rPr>
        <w:t>five times higher</w:t>
      </w:r>
      <w:r w:rsidRPr="22502B61">
        <w:rPr>
          <w:rFonts w:ascii="Aptos" w:hAnsi="Aptos" w:eastAsia="Aptos" w:cs="Aptos"/>
          <w:sz w:val="22"/>
          <w:szCs w:val="22"/>
        </w:rPr>
        <w:t xml:space="preserve"> than pre-war estimates from the Gaza Ministry of Health for the entire population.</w:t>
      </w:r>
    </w:p>
    <w:p w:rsidR="000D5550" w:rsidP="22502B61" w:rsidRDefault="7955EA66" w14:paraId="4F37558A" w14:textId="77777777">
      <w:pPr>
        <w:pStyle w:val="BodyText"/>
        <w:numPr>
          <w:ilvl w:val="0"/>
          <w:numId w:val="3"/>
        </w:numPr>
        <w:tabs>
          <w:tab w:val="left" w:pos="707"/>
        </w:tabs>
        <w:spacing w:line="240" w:lineRule="auto"/>
        <w:rPr>
          <w:rFonts w:ascii="Aptos" w:hAnsi="Aptos" w:eastAsia="Aptos" w:cs="Aptos"/>
          <w:sz w:val="22"/>
          <w:szCs w:val="22"/>
        </w:rPr>
      </w:pPr>
      <w:r w:rsidRPr="22502B61">
        <w:rPr>
          <w:rFonts w:ascii="Aptos" w:hAnsi="Aptos" w:eastAsia="Aptos" w:cs="Aptos"/>
          <w:sz w:val="22"/>
          <w:szCs w:val="22"/>
        </w:rPr>
        <w:t xml:space="preserve">The </w:t>
      </w:r>
      <w:r w:rsidRPr="22502B61">
        <w:rPr>
          <w:rStyle w:val="StrongEmphasis"/>
          <w:rFonts w:ascii="Aptos" w:hAnsi="Aptos" w:eastAsia="Aptos" w:cs="Aptos"/>
          <w:sz w:val="22"/>
          <w:szCs w:val="22"/>
        </w:rPr>
        <w:t>under-five mortality rate</w:t>
      </w:r>
      <w:r w:rsidRPr="22502B61">
        <w:rPr>
          <w:rFonts w:ascii="Aptos" w:hAnsi="Aptos" w:eastAsia="Aptos" w:cs="Aptos"/>
          <w:sz w:val="22"/>
          <w:szCs w:val="22"/>
        </w:rPr>
        <w:t xml:space="preserve"> was </w:t>
      </w:r>
      <w:r w:rsidRPr="22502B61">
        <w:rPr>
          <w:rStyle w:val="StrongEmphasis"/>
          <w:rFonts w:ascii="Aptos" w:hAnsi="Aptos" w:eastAsia="Aptos" w:cs="Aptos"/>
          <w:sz w:val="22"/>
          <w:szCs w:val="22"/>
        </w:rPr>
        <w:t>0.70 per 10,000 per day</w:t>
      </w:r>
      <w:r w:rsidRPr="22502B61">
        <w:rPr>
          <w:rFonts w:ascii="Aptos" w:hAnsi="Aptos" w:eastAsia="Aptos" w:cs="Aptos"/>
          <w:sz w:val="22"/>
          <w:szCs w:val="22"/>
        </w:rPr>
        <w:t xml:space="preserve">, around </w:t>
      </w:r>
      <w:r w:rsidRPr="22502B61">
        <w:rPr>
          <w:rStyle w:val="StrongEmphasis"/>
          <w:rFonts w:ascii="Aptos" w:hAnsi="Aptos" w:eastAsia="Aptos" w:cs="Aptos"/>
          <w:sz w:val="22"/>
          <w:szCs w:val="22"/>
        </w:rPr>
        <w:t>ten times higher</w:t>
      </w:r>
      <w:r w:rsidRPr="22502B61">
        <w:rPr>
          <w:rFonts w:ascii="Aptos" w:hAnsi="Aptos" w:eastAsia="Aptos" w:cs="Aptos"/>
          <w:sz w:val="22"/>
          <w:szCs w:val="22"/>
        </w:rPr>
        <w:t xml:space="preserve"> than pre-war levels.</w:t>
      </w:r>
    </w:p>
    <w:p w:rsidR="000D5550" w:rsidP="22502B61" w:rsidRDefault="7955EA66" w14:paraId="18D9708B" w14:textId="12D13F8E">
      <w:pPr>
        <w:pStyle w:val="BodyText"/>
        <w:numPr>
          <w:ilvl w:val="0"/>
          <w:numId w:val="3"/>
        </w:numPr>
        <w:tabs>
          <w:tab w:val="left" w:pos="707"/>
        </w:tabs>
        <w:spacing w:line="240" w:lineRule="auto"/>
        <w:rPr>
          <w:rFonts w:ascii="Aptos" w:hAnsi="Aptos" w:eastAsia="Aptos" w:cs="Aptos"/>
          <w:sz w:val="22"/>
          <w:szCs w:val="22"/>
        </w:rPr>
      </w:pPr>
      <w:r w:rsidRPr="5791D82E" w:rsidR="7955EA66">
        <w:rPr>
          <w:rFonts w:ascii="Aptos" w:hAnsi="Aptos" w:eastAsia="Aptos" w:cs="Aptos"/>
          <w:sz w:val="22"/>
          <w:szCs w:val="22"/>
        </w:rPr>
        <w:t xml:space="preserve">The </w:t>
      </w:r>
      <w:r w:rsidRPr="5791D82E" w:rsidR="7955EA66">
        <w:rPr>
          <w:rStyle w:val="StrongEmphasis"/>
          <w:rFonts w:ascii="Aptos" w:hAnsi="Aptos" w:eastAsia="Aptos" w:cs="Aptos"/>
          <w:sz w:val="22"/>
          <w:szCs w:val="22"/>
        </w:rPr>
        <w:t>neonatal mortality rate</w:t>
      </w:r>
      <w:r w:rsidRPr="5791D82E" w:rsidR="7955EA66">
        <w:rPr>
          <w:rFonts w:ascii="Aptos" w:hAnsi="Aptos" w:eastAsia="Aptos" w:cs="Aptos"/>
          <w:sz w:val="22"/>
          <w:szCs w:val="22"/>
        </w:rPr>
        <w:t xml:space="preserve"> was calculated at </w:t>
      </w:r>
      <w:r w:rsidRPr="5791D82E" w:rsidR="7955EA66">
        <w:rPr>
          <w:rStyle w:val="StrongEmphasis"/>
          <w:rFonts w:ascii="Aptos" w:hAnsi="Aptos" w:eastAsia="Aptos" w:cs="Aptos"/>
          <w:sz w:val="22"/>
          <w:szCs w:val="22"/>
        </w:rPr>
        <w:t>42.3 deaths per 1,000 live births</w:t>
      </w:r>
      <w:r w:rsidRPr="5791D82E" w:rsidR="7955EA66">
        <w:rPr>
          <w:rFonts w:ascii="Aptos" w:hAnsi="Aptos" w:eastAsia="Aptos" w:cs="Aptos"/>
          <w:sz w:val="22"/>
          <w:szCs w:val="22"/>
        </w:rPr>
        <w:t xml:space="preserve">, </w:t>
      </w:r>
      <w:r w:rsidRPr="5791D82E" w:rsidR="7955EA66">
        <w:rPr>
          <w:rFonts w:ascii="Aptos" w:hAnsi="Aptos" w:eastAsia="Aptos" w:cs="Aptos"/>
          <w:sz w:val="22"/>
          <w:szCs w:val="22"/>
        </w:rPr>
        <w:t xml:space="preserve">roughly </w:t>
      </w:r>
      <w:r w:rsidRPr="5791D82E" w:rsidR="7955EA66">
        <w:rPr>
          <w:rStyle w:val="StrongEmphasis"/>
          <w:rFonts w:ascii="Aptos" w:hAnsi="Aptos" w:eastAsia="Aptos" w:cs="Aptos"/>
          <w:sz w:val="22"/>
          <w:szCs w:val="22"/>
        </w:rPr>
        <w:t>six</w:t>
      </w:r>
      <w:r w:rsidRPr="5791D82E" w:rsidR="7955EA66">
        <w:rPr>
          <w:rStyle w:val="StrongEmphasis"/>
          <w:rFonts w:ascii="Aptos" w:hAnsi="Aptos" w:eastAsia="Aptos" w:cs="Aptos"/>
          <w:sz w:val="22"/>
          <w:szCs w:val="22"/>
        </w:rPr>
        <w:t xml:space="preserve"> times higher</w:t>
      </w:r>
      <w:r w:rsidRPr="5791D82E" w:rsidR="7955EA66">
        <w:rPr>
          <w:rFonts w:ascii="Aptos" w:hAnsi="Aptos" w:eastAsia="Aptos" w:cs="Aptos"/>
          <w:sz w:val="22"/>
          <w:szCs w:val="22"/>
        </w:rPr>
        <w:t xml:space="preserve"> than </w:t>
      </w:r>
      <w:r w:rsidRPr="5791D82E" w:rsidR="7955EA66">
        <w:rPr>
          <w:rFonts w:ascii="Aptos" w:hAnsi="Aptos" w:eastAsia="Aptos" w:cs="Aptos"/>
          <w:sz w:val="22"/>
          <w:szCs w:val="22"/>
        </w:rPr>
        <w:t>previous</w:t>
      </w:r>
      <w:r w:rsidRPr="5791D82E" w:rsidR="7955EA66">
        <w:rPr>
          <w:rFonts w:ascii="Aptos" w:hAnsi="Aptos" w:eastAsia="Aptos" w:cs="Aptos"/>
          <w:sz w:val="22"/>
          <w:szCs w:val="22"/>
        </w:rPr>
        <w:t xml:space="preserve"> figures.</w:t>
      </w:r>
    </w:p>
    <w:p w:rsidR="000D5550" w:rsidP="22502B61" w:rsidRDefault="7955EA66" w14:paraId="68BF3D11" w14:textId="77777777">
      <w:pPr>
        <w:pStyle w:val="Heading4"/>
        <w:rPr>
          <w:rStyle w:val="StrongEmphasis"/>
          <w:rFonts w:ascii="Aptos" w:hAnsi="Aptos" w:eastAsia="Aptos" w:cs="Aptos"/>
          <w:b/>
          <w:bCs/>
          <w:sz w:val="22"/>
          <w:szCs w:val="22"/>
        </w:rPr>
      </w:pPr>
      <w:r w:rsidRPr="22502B61">
        <w:rPr>
          <w:rStyle w:val="StrongEmphasis"/>
          <w:rFonts w:ascii="Aptos" w:hAnsi="Aptos" w:eastAsia="Aptos" w:cs="Aptos"/>
          <w:b/>
          <w:bCs/>
          <w:sz w:val="22"/>
          <w:szCs w:val="22"/>
        </w:rPr>
        <w:t>Causes and Demographics of Death</w:t>
      </w:r>
    </w:p>
    <w:p w:rsidR="000D5550" w:rsidP="22502B61" w:rsidRDefault="7955EA66" w14:paraId="0B969457" w14:textId="77777777">
      <w:pPr>
        <w:pStyle w:val="BodyText"/>
        <w:numPr>
          <w:ilvl w:val="0"/>
          <w:numId w:val="4"/>
        </w:numPr>
        <w:tabs>
          <w:tab w:val="left" w:pos="707"/>
        </w:tabs>
        <w:spacing w:line="240" w:lineRule="auto"/>
        <w:jc w:val="both"/>
        <w:rPr>
          <w:rFonts w:ascii="Aptos" w:hAnsi="Aptos" w:eastAsia="Aptos" w:cs="Aptos"/>
          <w:sz w:val="22"/>
          <w:szCs w:val="22"/>
          <w:lang w:val="en-US"/>
        </w:rPr>
      </w:pPr>
      <w:r w:rsidRPr="22502B61">
        <w:rPr>
          <w:rFonts w:ascii="Aptos" w:hAnsi="Aptos" w:eastAsia="Aptos" w:cs="Aptos"/>
          <w:sz w:val="22"/>
          <w:szCs w:val="22"/>
        </w:rPr>
        <w:t>The majority of deaths (</w:t>
      </w:r>
      <w:r w:rsidRPr="22502B61">
        <w:rPr>
          <w:rStyle w:val="StrongEmphasis"/>
          <w:rFonts w:ascii="Aptos" w:hAnsi="Aptos" w:eastAsia="Aptos" w:cs="Aptos"/>
          <w:sz w:val="22"/>
          <w:szCs w:val="22"/>
        </w:rPr>
        <w:t>74%</w:t>
      </w:r>
      <w:r w:rsidRPr="22502B61">
        <w:rPr>
          <w:rFonts w:ascii="Aptos" w:hAnsi="Aptos" w:eastAsia="Aptos" w:cs="Aptos"/>
          <w:sz w:val="22"/>
          <w:szCs w:val="22"/>
        </w:rPr>
        <w:t xml:space="preserve">) were due to trauma, </w:t>
      </w:r>
      <w:r w:rsidRPr="22502B61">
        <w:rPr>
          <w:rFonts w:ascii="Aptos" w:hAnsi="Aptos" w:eastAsia="Aptos" w:cs="Aptos"/>
          <w:b/>
          <w:bCs/>
          <w:sz w:val="22"/>
          <w:szCs w:val="22"/>
        </w:rPr>
        <w:t>predominantly from blast injuries (98%)</w:t>
      </w:r>
      <w:r w:rsidRPr="22502B61">
        <w:rPr>
          <w:rFonts w:ascii="Aptos" w:hAnsi="Aptos" w:eastAsia="Aptos" w:cs="Aptos"/>
          <w:sz w:val="22"/>
          <w:szCs w:val="22"/>
        </w:rPr>
        <w:t>.</w:t>
      </w:r>
    </w:p>
    <w:p w:rsidR="000D5550" w:rsidP="22502B61" w:rsidRDefault="7955EA66" w14:paraId="2AC574F2" w14:textId="124B4FC3">
      <w:pPr>
        <w:pStyle w:val="BodyText"/>
        <w:numPr>
          <w:ilvl w:val="0"/>
          <w:numId w:val="4"/>
        </w:numPr>
        <w:tabs>
          <w:tab w:val="left" w:pos="707"/>
        </w:tabs>
        <w:spacing w:line="240" w:lineRule="auto"/>
        <w:jc w:val="both"/>
        <w:rPr>
          <w:rFonts w:ascii="Aptos" w:hAnsi="Aptos" w:eastAsia="Aptos" w:cs="Aptos"/>
          <w:sz w:val="22"/>
          <w:szCs w:val="22"/>
        </w:rPr>
      </w:pPr>
      <w:r w:rsidRPr="22502B61">
        <w:rPr>
          <w:rStyle w:val="StrongEmphasis"/>
          <w:rFonts w:ascii="Aptos" w:hAnsi="Aptos" w:eastAsia="Aptos" w:cs="Aptos"/>
          <w:sz w:val="22"/>
          <w:szCs w:val="22"/>
        </w:rPr>
        <w:t>40%</w:t>
      </w:r>
      <w:r w:rsidRPr="22502B61">
        <w:rPr>
          <w:rFonts w:ascii="Aptos" w:hAnsi="Aptos" w:eastAsia="Aptos" w:cs="Aptos"/>
          <w:sz w:val="22"/>
          <w:szCs w:val="22"/>
        </w:rPr>
        <w:t xml:space="preserve"> of deaths caused by violence occurred among </w:t>
      </w:r>
      <w:r w:rsidRPr="22502B61">
        <w:rPr>
          <w:rFonts w:ascii="Aptos" w:hAnsi="Aptos" w:eastAsia="Aptos" w:cs="Aptos"/>
          <w:b/>
          <w:bCs/>
          <w:sz w:val="22"/>
          <w:szCs w:val="22"/>
        </w:rPr>
        <w:t>children under the age of ten</w:t>
      </w:r>
      <w:r w:rsidRPr="22502B61">
        <w:rPr>
          <w:rFonts w:ascii="Aptos" w:hAnsi="Aptos" w:eastAsia="Aptos" w:cs="Aptos"/>
          <w:sz w:val="22"/>
          <w:szCs w:val="22"/>
        </w:rPr>
        <w:t>.</w:t>
      </w:r>
    </w:p>
    <w:p w:rsidR="000D5550" w:rsidP="22502B61" w:rsidRDefault="7955EA66" w14:paraId="74242940" w14:textId="77777777">
      <w:pPr>
        <w:pStyle w:val="BodyText"/>
        <w:numPr>
          <w:ilvl w:val="0"/>
          <w:numId w:val="4"/>
        </w:numPr>
        <w:tabs>
          <w:tab w:val="left" w:pos="707"/>
        </w:tabs>
        <w:spacing w:line="240" w:lineRule="auto"/>
        <w:jc w:val="both"/>
        <w:rPr>
          <w:rFonts w:ascii="Aptos" w:hAnsi="Aptos" w:eastAsia="Aptos" w:cs="Aptos"/>
          <w:sz w:val="22"/>
          <w:szCs w:val="22"/>
        </w:rPr>
      </w:pPr>
      <w:r w:rsidRPr="22502B61">
        <w:rPr>
          <w:rFonts w:ascii="Aptos" w:hAnsi="Aptos" w:eastAsia="Aptos" w:cs="Aptos"/>
          <w:sz w:val="22"/>
          <w:szCs w:val="22"/>
        </w:rPr>
        <w:t xml:space="preserve">Deaths were evenly distributed by sex </w:t>
      </w:r>
    </w:p>
    <w:p w:rsidR="000D5550" w:rsidP="22502B61" w:rsidRDefault="7955EA66" w14:paraId="2A4F6514" w14:textId="77777777">
      <w:pPr>
        <w:pStyle w:val="BodyText"/>
        <w:numPr>
          <w:ilvl w:val="0"/>
          <w:numId w:val="4"/>
        </w:numPr>
        <w:tabs>
          <w:tab w:val="left" w:pos="707"/>
        </w:tabs>
        <w:spacing w:line="240" w:lineRule="auto"/>
        <w:jc w:val="both"/>
        <w:rPr>
          <w:rFonts w:ascii="Aptos" w:hAnsi="Aptos" w:eastAsia="Aptos" w:cs="Aptos"/>
          <w:sz w:val="22"/>
          <w:szCs w:val="22"/>
          <w:lang w:val="en-US"/>
        </w:rPr>
      </w:pPr>
      <w:r w:rsidRPr="22502B61">
        <w:rPr>
          <w:rFonts w:ascii="Aptos" w:hAnsi="Aptos" w:eastAsia="Aptos" w:cs="Aptos"/>
          <w:sz w:val="22"/>
          <w:szCs w:val="22"/>
        </w:rPr>
        <w:t>As the conflict endured, we observed  an increase in non-violent deaths over time</w:t>
      </w:r>
    </w:p>
    <w:p w:rsidR="000D5550" w:rsidP="22502B61" w:rsidRDefault="7955EA66" w14:paraId="42E5683D" w14:textId="77777777">
      <w:pPr>
        <w:pStyle w:val="BodyText"/>
        <w:numPr>
          <w:ilvl w:val="0"/>
          <w:numId w:val="4"/>
        </w:numPr>
        <w:tabs>
          <w:tab w:val="left" w:pos="707"/>
        </w:tabs>
        <w:spacing w:line="240" w:lineRule="auto"/>
        <w:jc w:val="both"/>
        <w:rPr>
          <w:rStyle w:val="StrongEmphasis"/>
          <w:rFonts w:ascii="Aptos" w:hAnsi="Aptos" w:eastAsia="Aptos" w:cs="Aptos"/>
          <w:sz w:val="22"/>
          <w:szCs w:val="22"/>
        </w:rPr>
      </w:pPr>
      <w:r w:rsidRPr="22502B61">
        <w:rPr>
          <w:rFonts w:ascii="Aptos" w:hAnsi="Aptos" w:eastAsia="Aptos" w:cs="Aptos"/>
          <w:sz w:val="22"/>
          <w:szCs w:val="22"/>
        </w:rPr>
        <w:t>Among trauma-related deaths with an ID number, 88% were matched to entries in the Ministry of Health's official registry of violent deaths. Notably, no deaths attributed to non-violent causes from our survey were present in the Ministry’s list.</w:t>
      </w:r>
    </w:p>
    <w:p w:rsidR="000D5550" w:rsidP="22502B61" w:rsidRDefault="7955EA66" w14:paraId="75DCB9EF" w14:textId="77777777">
      <w:pPr>
        <w:pStyle w:val="BodyText"/>
        <w:tabs>
          <w:tab w:val="left" w:pos="707"/>
        </w:tabs>
        <w:spacing w:line="240" w:lineRule="auto"/>
        <w:jc w:val="both"/>
        <w:rPr>
          <w:rStyle w:val="StrongEmphasis"/>
          <w:rFonts w:ascii="Aptos" w:hAnsi="Aptos" w:eastAsia="Aptos" w:cs="Aptos"/>
          <w:sz w:val="22"/>
          <w:szCs w:val="22"/>
        </w:rPr>
      </w:pPr>
      <w:r w:rsidRPr="22502B61">
        <w:rPr>
          <w:rStyle w:val="StrongEmphasis"/>
          <w:rFonts w:ascii="Aptos" w:hAnsi="Aptos" w:eastAsia="Aptos" w:cs="Aptos"/>
          <w:sz w:val="22"/>
          <w:szCs w:val="22"/>
        </w:rPr>
        <w:lastRenderedPageBreak/>
        <w:t>Morbidity and Injuries</w:t>
      </w:r>
    </w:p>
    <w:p w:rsidR="000D5550" w:rsidP="22502B61" w:rsidRDefault="7955EA66" w14:paraId="2FD5F47F" w14:textId="77777777">
      <w:pPr>
        <w:pStyle w:val="BodyText"/>
        <w:numPr>
          <w:ilvl w:val="0"/>
          <w:numId w:val="5"/>
        </w:numPr>
        <w:tabs>
          <w:tab w:val="left" w:pos="707"/>
        </w:tabs>
        <w:spacing w:line="240" w:lineRule="auto"/>
        <w:rPr>
          <w:rFonts w:ascii="Aptos" w:hAnsi="Aptos" w:eastAsia="Aptos" w:cs="Aptos"/>
          <w:sz w:val="22"/>
          <w:szCs w:val="22"/>
        </w:rPr>
      </w:pPr>
      <w:r w:rsidRPr="22502B61">
        <w:rPr>
          <w:rStyle w:val="StrongEmphasis"/>
          <w:rFonts w:ascii="Aptos" w:hAnsi="Aptos" w:eastAsia="Aptos" w:cs="Aptos"/>
          <w:sz w:val="22"/>
          <w:szCs w:val="22"/>
        </w:rPr>
        <w:t>44%</w:t>
      </w:r>
      <w:r w:rsidRPr="22502B61">
        <w:rPr>
          <w:rFonts w:ascii="Aptos" w:hAnsi="Aptos" w:eastAsia="Aptos" w:cs="Aptos"/>
          <w:sz w:val="22"/>
          <w:szCs w:val="22"/>
        </w:rPr>
        <w:t xml:space="preserve"> of all household members reported at least one illness in the month preceding the interview.</w:t>
      </w:r>
    </w:p>
    <w:p w:rsidR="000D5550" w:rsidP="22502B61" w:rsidRDefault="7955EA66" w14:paraId="3E116A8D" w14:textId="77777777">
      <w:pPr>
        <w:pStyle w:val="BodyText"/>
        <w:numPr>
          <w:ilvl w:val="0"/>
          <w:numId w:val="5"/>
        </w:numPr>
        <w:tabs>
          <w:tab w:val="left" w:pos="707"/>
        </w:tabs>
        <w:spacing w:line="240" w:lineRule="auto"/>
        <w:rPr>
          <w:rFonts w:ascii="Aptos" w:hAnsi="Aptos" w:eastAsia="Aptos" w:cs="Aptos"/>
          <w:sz w:val="22"/>
          <w:szCs w:val="22"/>
          <w:lang w:val="en-US"/>
        </w:rPr>
      </w:pPr>
      <w:r w:rsidRPr="22502B61">
        <w:rPr>
          <w:rFonts w:ascii="Aptos" w:hAnsi="Aptos" w:eastAsia="Aptos" w:cs="Aptos"/>
          <w:sz w:val="22"/>
          <w:szCs w:val="22"/>
        </w:rPr>
        <w:t xml:space="preserve">7% of all household members were injured, 9 out of 10 by bomb explosions and gunshots. </w:t>
      </w:r>
    </w:p>
    <w:p w:rsidR="000D5550" w:rsidP="22502B61" w:rsidRDefault="7955EA66" w14:paraId="3D3188D3" w14:textId="77777777">
      <w:pPr>
        <w:pStyle w:val="BodyText"/>
        <w:tabs>
          <w:tab w:val="left" w:pos="707"/>
        </w:tabs>
        <w:spacing w:line="240" w:lineRule="auto"/>
        <w:rPr>
          <w:rStyle w:val="StrongEmphasis"/>
          <w:rFonts w:ascii="Aptos" w:hAnsi="Aptos" w:eastAsia="Aptos" w:cs="Aptos"/>
          <w:sz w:val="22"/>
          <w:szCs w:val="22"/>
        </w:rPr>
      </w:pPr>
      <w:r w:rsidRPr="22502B61">
        <w:rPr>
          <w:rStyle w:val="StrongEmphasis"/>
          <w:rFonts w:ascii="Aptos" w:hAnsi="Aptos" w:eastAsia="Aptos" w:cs="Aptos"/>
          <w:sz w:val="22"/>
          <w:szCs w:val="22"/>
        </w:rPr>
        <w:t>Access to Care</w:t>
      </w:r>
    </w:p>
    <w:p w:rsidRPr="000D5550" w:rsidR="000D5550" w:rsidP="22502B61" w:rsidRDefault="7955EA66" w14:paraId="4A23FEAB" w14:textId="512E88DB">
      <w:pPr>
        <w:pStyle w:val="BodyText"/>
        <w:numPr>
          <w:ilvl w:val="0"/>
          <w:numId w:val="6"/>
        </w:numPr>
        <w:tabs>
          <w:tab w:val="left" w:pos="707"/>
        </w:tabs>
        <w:spacing w:line="240" w:lineRule="auto"/>
        <w:jc w:val="both"/>
        <w:rPr>
          <w:rFonts w:ascii="Aptos" w:hAnsi="Aptos" w:eastAsia="Aptos" w:cs="Aptos"/>
          <w:sz w:val="22"/>
          <w:szCs w:val="22"/>
        </w:rPr>
      </w:pPr>
      <w:r w:rsidRPr="22502B61">
        <w:rPr>
          <w:rFonts w:ascii="Aptos" w:hAnsi="Aptos" w:eastAsia="Aptos" w:cs="Aptos"/>
          <w:sz w:val="22"/>
          <w:szCs w:val="22"/>
        </w:rPr>
        <w:t>86% of injured were treated, mainly in hospitals and field hospitals.</w:t>
      </w:r>
    </w:p>
    <w:p w:rsidRPr="000D5550" w:rsidR="000D5550" w:rsidP="22502B61" w:rsidRDefault="7955EA66" w14:paraId="13F4CA7D" w14:textId="76871BD0">
      <w:pPr>
        <w:pStyle w:val="BodyText"/>
        <w:numPr>
          <w:ilvl w:val="0"/>
          <w:numId w:val="6"/>
        </w:numPr>
        <w:tabs>
          <w:tab w:val="left" w:pos="707"/>
        </w:tabs>
        <w:spacing w:line="240" w:lineRule="auto"/>
        <w:jc w:val="both"/>
        <w:rPr>
          <w:rFonts w:ascii="Aptos" w:hAnsi="Aptos" w:eastAsia="Aptos" w:cs="Aptos"/>
          <w:sz w:val="22"/>
          <w:szCs w:val="22"/>
        </w:rPr>
      </w:pPr>
      <w:r w:rsidRPr="22502B61">
        <w:rPr>
          <w:rFonts w:ascii="Aptos" w:hAnsi="Aptos" w:eastAsia="Aptos" w:cs="Aptos"/>
          <w:sz w:val="22"/>
          <w:szCs w:val="22"/>
        </w:rPr>
        <w:t xml:space="preserve">Among those diagnosed with a chronic illness, </w:t>
      </w:r>
      <w:r w:rsidRPr="22502B61">
        <w:rPr>
          <w:rStyle w:val="StrongEmphasis"/>
          <w:rFonts w:ascii="Aptos" w:hAnsi="Aptos" w:eastAsia="Aptos" w:cs="Aptos"/>
          <w:sz w:val="22"/>
          <w:szCs w:val="22"/>
        </w:rPr>
        <w:t>68%</w:t>
      </w:r>
      <w:r w:rsidRPr="22502B61">
        <w:rPr>
          <w:rFonts w:ascii="Aptos" w:hAnsi="Aptos" w:eastAsia="Aptos" w:cs="Aptos"/>
          <w:sz w:val="22"/>
          <w:szCs w:val="22"/>
        </w:rPr>
        <w:t xml:space="preserve"> experienced one or more interruptions in treatment during the conflict. On average, the longest interruption lasted nearly 120 days</w:t>
      </w:r>
      <w:r w:rsidRPr="22502B61" w:rsidR="564B7E2A">
        <w:rPr>
          <w:rFonts w:ascii="Aptos" w:hAnsi="Aptos" w:eastAsia="Aptos" w:cs="Aptos"/>
          <w:sz w:val="22"/>
          <w:szCs w:val="22"/>
        </w:rPr>
        <w:t>.</w:t>
      </w:r>
    </w:p>
    <w:p w:rsidR="000D5550" w:rsidP="22502B61" w:rsidRDefault="7955EA66" w14:paraId="0BD65CC0" w14:textId="33893C01">
      <w:pPr>
        <w:pStyle w:val="BodyText"/>
        <w:tabs>
          <w:tab w:val="left" w:pos="707"/>
        </w:tabs>
        <w:spacing w:line="240" w:lineRule="auto"/>
        <w:jc w:val="both"/>
        <w:rPr>
          <w:rStyle w:val="StrongEmphasis"/>
          <w:rFonts w:ascii="Aptos" w:hAnsi="Aptos" w:eastAsia="Aptos" w:cs="Aptos"/>
          <w:sz w:val="22"/>
          <w:szCs w:val="22"/>
        </w:rPr>
      </w:pPr>
      <w:r w:rsidRPr="22502B61">
        <w:rPr>
          <w:rStyle w:val="StrongEmphasis"/>
          <w:rFonts w:ascii="Aptos" w:hAnsi="Aptos" w:eastAsia="Aptos" w:cs="Aptos"/>
          <w:sz w:val="22"/>
          <w:szCs w:val="22"/>
        </w:rPr>
        <w:t>Forced displacement and housing</w:t>
      </w:r>
    </w:p>
    <w:p w:rsidR="000D5550" w:rsidP="22502B61" w:rsidRDefault="7955EA66" w14:paraId="39B0EDB1" w14:textId="77777777">
      <w:pPr>
        <w:pStyle w:val="BodyText"/>
        <w:numPr>
          <w:ilvl w:val="0"/>
          <w:numId w:val="1"/>
        </w:numPr>
        <w:spacing w:line="240" w:lineRule="auto"/>
        <w:rPr>
          <w:rFonts w:ascii="Aptos" w:hAnsi="Aptos" w:eastAsia="Aptos" w:cs="Aptos"/>
          <w:sz w:val="22"/>
          <w:szCs w:val="22"/>
          <w:lang w:val="en-US"/>
        </w:rPr>
      </w:pPr>
      <w:r w:rsidRPr="22502B61">
        <w:rPr>
          <w:rFonts w:ascii="Aptos" w:hAnsi="Aptos" w:eastAsia="Aptos" w:cs="Aptos"/>
          <w:sz w:val="22"/>
          <w:szCs w:val="22"/>
        </w:rPr>
        <w:t>Half of MSF staff and their families were forced to change their houses five times or more in 15 months.</w:t>
      </w:r>
    </w:p>
    <w:p w:rsidR="000D5550" w:rsidP="22502B61" w:rsidRDefault="7955EA66" w14:paraId="539B8521" w14:textId="77777777">
      <w:pPr>
        <w:pStyle w:val="BodyText"/>
        <w:numPr>
          <w:ilvl w:val="0"/>
          <w:numId w:val="1"/>
        </w:numPr>
        <w:spacing w:line="240" w:lineRule="auto"/>
        <w:rPr>
          <w:rFonts w:ascii="Aptos" w:hAnsi="Aptos" w:eastAsia="Aptos" w:cs="Aptos"/>
          <w:sz w:val="22"/>
          <w:szCs w:val="22"/>
          <w:lang w:val="en-US"/>
        </w:rPr>
      </w:pPr>
      <w:r w:rsidRPr="22502B61">
        <w:rPr>
          <w:rFonts w:ascii="Aptos" w:hAnsi="Aptos" w:eastAsia="Aptos" w:cs="Aptos"/>
          <w:sz w:val="22"/>
          <w:szCs w:val="22"/>
        </w:rPr>
        <w:t xml:space="preserve">Because 98% of MSF staff houses were partially (39%) or completely destroyed (59%), many families were forced to live in tents. </w:t>
      </w:r>
    </w:p>
    <w:p w:rsidR="000D5550" w:rsidP="22502B61" w:rsidRDefault="7955EA66" w14:paraId="104F1710" w14:textId="77777777">
      <w:pPr>
        <w:pStyle w:val="Heading3"/>
        <w:rPr>
          <w:rStyle w:val="StrongEmphasis"/>
          <w:rFonts w:ascii="Aptos" w:hAnsi="Aptos" w:eastAsia="Aptos" w:cs="Aptos"/>
          <w:b/>
          <w:bCs/>
          <w:sz w:val="24"/>
          <w:szCs w:val="24"/>
        </w:rPr>
      </w:pPr>
      <w:r w:rsidRPr="22502B61">
        <w:rPr>
          <w:rStyle w:val="StrongEmphasis"/>
          <w:rFonts w:ascii="Aptos" w:hAnsi="Aptos" w:eastAsia="Aptos" w:cs="Aptos"/>
          <w:b/>
          <w:bCs/>
          <w:sz w:val="24"/>
          <w:szCs w:val="24"/>
        </w:rPr>
        <w:t>Conclusions</w:t>
      </w:r>
    </w:p>
    <w:p w:rsidR="000D5550" w:rsidP="22502B61" w:rsidRDefault="7955EA66" w14:paraId="45346CA5" w14:textId="77777777">
      <w:pPr>
        <w:pStyle w:val="Heading3"/>
        <w:rPr>
          <w:rFonts w:ascii="Aptos" w:hAnsi="Aptos" w:eastAsia="Aptos" w:cs="Aptos"/>
          <w:b w:val="0"/>
          <w:bCs w:val="0"/>
          <w:sz w:val="22"/>
          <w:szCs w:val="22"/>
          <w:lang w:val="en-US"/>
        </w:rPr>
      </w:pPr>
      <w:r w:rsidRPr="22502B61">
        <w:rPr>
          <w:rFonts w:ascii="Aptos" w:hAnsi="Aptos" w:eastAsia="Aptos" w:cs="Aptos"/>
          <w:b w:val="0"/>
          <w:bCs w:val="0"/>
          <w:sz w:val="22"/>
          <w:szCs w:val="22"/>
        </w:rPr>
        <w:t>The findings of this survey underscore the devastating impact of the Israeli forces’ genocidal campaign in Gaza on MSF Palestinian staff and their families in the Strip.</w:t>
      </w:r>
    </w:p>
    <w:p w:rsidR="000D5550" w:rsidP="22502B61" w:rsidRDefault="7955EA66" w14:paraId="0738D9C0" w14:textId="77777777">
      <w:pPr>
        <w:pStyle w:val="Heading3"/>
        <w:jc w:val="both"/>
        <w:rPr>
          <w:rFonts w:ascii="Aptos" w:hAnsi="Aptos" w:eastAsia="Aptos" w:cs="Aptos"/>
          <w:b w:val="0"/>
          <w:bCs w:val="0"/>
          <w:lang w:val="en-US"/>
        </w:rPr>
      </w:pPr>
      <w:r w:rsidRPr="22502B61">
        <w:rPr>
          <w:rFonts w:ascii="Aptos" w:hAnsi="Aptos" w:eastAsia="Aptos" w:cs="Aptos"/>
          <w:b w:val="0"/>
          <w:bCs w:val="0"/>
          <w:sz w:val="22"/>
          <w:szCs w:val="22"/>
        </w:rPr>
        <w:t xml:space="preserve">Despite their roles as healthcare providers responsible for caring for countless injured patients and witnessing daily fatalities, they have also been forcibly displaced numerous times. Many are currently living in tents due to the partial or complete destruction of their homes.  </w:t>
      </w:r>
    </w:p>
    <w:p w:rsidR="000D5550" w:rsidP="22502B61" w:rsidRDefault="7955EA66" w14:paraId="2B064C21" w14:textId="77777777">
      <w:pPr>
        <w:pStyle w:val="Heading3"/>
        <w:rPr>
          <w:rFonts w:ascii="Aptos" w:hAnsi="Aptos" w:eastAsia="Aptos" w:cs="Aptos"/>
          <w:b w:val="0"/>
          <w:bCs w:val="0"/>
          <w:sz w:val="22"/>
          <w:szCs w:val="22"/>
          <w:lang w:val="en-US"/>
        </w:rPr>
      </w:pPr>
      <w:r w:rsidRPr="22502B61">
        <w:rPr>
          <w:rFonts w:ascii="Aptos" w:hAnsi="Aptos" w:eastAsia="Aptos" w:cs="Aptos"/>
          <w:b w:val="0"/>
          <w:bCs w:val="0"/>
          <w:sz w:val="22"/>
          <w:szCs w:val="22"/>
        </w:rPr>
        <w:t>Mortality rates among their families have risen dramatically, particularly among children and neonates. Deaths within MSF families were mainly caused by blasts from bombs and gunshots, with young children disproportionately affected.</w:t>
      </w:r>
    </w:p>
    <w:p w:rsidR="000D5550" w:rsidP="22502B61" w:rsidRDefault="7955EA66" w14:paraId="2BA35C5D" w14:textId="77777777">
      <w:pPr>
        <w:jc w:val="both"/>
        <w:rPr>
          <w:rFonts w:ascii="Aptos" w:hAnsi="Aptos" w:eastAsia="Aptos" w:cs="Aptos"/>
          <w:sz w:val="20"/>
          <w:szCs w:val="20"/>
          <w:lang w:val="en-US"/>
        </w:rPr>
      </w:pPr>
      <w:r w:rsidRPr="22502B61">
        <w:rPr>
          <w:rFonts w:ascii="Aptos" w:hAnsi="Aptos" w:eastAsia="Aptos" w:cs="Aptos"/>
          <w:sz w:val="22"/>
          <w:szCs w:val="22"/>
        </w:rPr>
        <w:t>Most violent deaths recorded in the survey corresponded to entries in the Ministry of Health’s list of war-related violent deaths, while no non-violent deaths were identified in that list, thereby supporting the validity of the reported death toll.</w:t>
      </w:r>
    </w:p>
    <w:p w:rsidR="000D5550" w:rsidP="22502B61" w:rsidRDefault="7955EA66" w14:paraId="6FDF4D0E" w14:textId="0B8D17DF">
      <w:pPr>
        <w:pStyle w:val="BodyText"/>
        <w:spacing w:line="240" w:lineRule="auto"/>
        <w:jc w:val="both"/>
        <w:rPr>
          <w:rFonts w:ascii="Aptos" w:hAnsi="Aptos" w:eastAsia="Aptos" w:cs="Aptos"/>
          <w:sz w:val="22"/>
          <w:szCs w:val="22"/>
        </w:rPr>
      </w:pPr>
      <w:r w:rsidRPr="22502B61">
        <w:rPr>
          <w:rFonts w:ascii="Aptos" w:hAnsi="Aptos" w:eastAsia="Aptos" w:cs="Aptos"/>
          <w:sz w:val="22"/>
          <w:szCs w:val="22"/>
        </w:rPr>
        <w:t xml:space="preserve">It is important to note that this survey is not representative of the general population in Gaza and does not reflect the renewed escalations of violence that have occurred after the ceasefire ended in March 2025. Nevertheless, it provides a critical snapshot of the human toll of the conflict and highlights the </w:t>
      </w:r>
      <w:r w:rsidRPr="22502B61">
        <w:rPr>
          <w:rStyle w:val="StrongEmphasis"/>
          <w:rFonts w:ascii="Aptos" w:hAnsi="Aptos" w:eastAsia="Aptos" w:cs="Aptos"/>
          <w:sz w:val="22"/>
          <w:szCs w:val="22"/>
        </w:rPr>
        <w:t>urgent need for protection of civilians and healthcare workers and an immediate ceasefire in Gaza</w:t>
      </w:r>
      <w:r w:rsidRPr="22502B61">
        <w:rPr>
          <w:rFonts w:ascii="Aptos" w:hAnsi="Aptos" w:eastAsia="Aptos" w:cs="Aptos"/>
          <w:sz w:val="22"/>
          <w:szCs w:val="22"/>
        </w:rPr>
        <w:t>.</w:t>
      </w:r>
    </w:p>
    <w:sectPr w:rsidR="000D5550">
      <w:pgSz w:w="11906" w:h="16838" w:orient="portrait"/>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erif">
    <w:altName w:val="Times New Roman"/>
    <w:panose1 w:val="020B0604020202020204"/>
    <w:charset w:val="01"/>
    <w:family w:val="roman"/>
    <w:pitch w:val="variable"/>
  </w:font>
  <w:font w:name="Mangal">
    <w:panose1 w:val="02040503050203030202"/>
    <w:charset w:val="01"/>
    <w:family w:val="roman"/>
    <w:pitch w:val="variable"/>
    <w:sig w:usb0="0000A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3DE0"/>
    <w:multiLevelType w:val="multilevel"/>
    <w:tmpl w:val="0A8ABA7A"/>
    <w:lvl w:ilvl="0">
      <w:start w:val="1"/>
      <w:numFmt w:val="bullet"/>
      <w:lvlText w:val=""/>
      <w:lvlJc w:val="left"/>
      <w:pPr>
        <w:tabs>
          <w:tab w:val="num" w:pos="707"/>
        </w:tabs>
        <w:ind w:left="707" w:hanging="283"/>
      </w:pPr>
      <w:rPr>
        <w:rFonts w:hint="default" w:ascii="Symbol" w:hAnsi="Symbol" w:cs="Symbol"/>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abstractNum w:abstractNumId="1" w15:restartNumberingAfterBreak="0">
    <w:nsid w:val="2C5C00B9"/>
    <w:multiLevelType w:val="multilevel"/>
    <w:tmpl w:val="F544E028"/>
    <w:lvl w:ilvl="0">
      <w:start w:val="1"/>
      <w:numFmt w:val="bullet"/>
      <w:lvlText w:val=""/>
      <w:lvlJc w:val="left"/>
      <w:pPr>
        <w:tabs>
          <w:tab w:val="num" w:pos="707"/>
        </w:tabs>
        <w:ind w:left="707" w:hanging="283"/>
      </w:pPr>
      <w:rPr>
        <w:rFonts w:hint="default" w:ascii="Symbol" w:hAnsi="Symbol" w:cs="Symbol"/>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abstractNum w:abstractNumId="2" w15:restartNumberingAfterBreak="0">
    <w:nsid w:val="3319118D"/>
    <w:multiLevelType w:val="hybridMultilevel"/>
    <w:tmpl w:val="62C4854E"/>
    <w:lvl w:ilvl="0" w:tplc="87F09214">
      <w:start w:val="1"/>
      <w:numFmt w:val="bullet"/>
      <w:lvlText w:val=""/>
      <w:lvlJc w:val="left"/>
      <w:pPr>
        <w:ind w:left="720" w:hanging="360"/>
      </w:pPr>
      <w:rPr>
        <w:rFonts w:hint="default" w:ascii="Symbol" w:hAnsi="Symbol"/>
      </w:rPr>
    </w:lvl>
    <w:lvl w:ilvl="1" w:tplc="9A70699C">
      <w:start w:val="1"/>
      <w:numFmt w:val="bullet"/>
      <w:lvlText w:val="o"/>
      <w:lvlJc w:val="left"/>
      <w:pPr>
        <w:ind w:left="1440" w:hanging="360"/>
      </w:pPr>
      <w:rPr>
        <w:rFonts w:hint="default" w:ascii="Courier New" w:hAnsi="Courier New"/>
      </w:rPr>
    </w:lvl>
    <w:lvl w:ilvl="2" w:tplc="060067FA">
      <w:start w:val="1"/>
      <w:numFmt w:val="bullet"/>
      <w:lvlText w:val=""/>
      <w:lvlJc w:val="left"/>
      <w:pPr>
        <w:ind w:left="2160" w:hanging="360"/>
      </w:pPr>
      <w:rPr>
        <w:rFonts w:hint="default" w:ascii="Wingdings" w:hAnsi="Wingdings"/>
      </w:rPr>
    </w:lvl>
    <w:lvl w:ilvl="3" w:tplc="4580B840">
      <w:start w:val="1"/>
      <w:numFmt w:val="bullet"/>
      <w:lvlText w:val=""/>
      <w:lvlJc w:val="left"/>
      <w:pPr>
        <w:ind w:left="2880" w:hanging="360"/>
      </w:pPr>
      <w:rPr>
        <w:rFonts w:hint="default" w:ascii="Symbol" w:hAnsi="Symbol"/>
      </w:rPr>
    </w:lvl>
    <w:lvl w:ilvl="4" w:tplc="04FEF38C">
      <w:start w:val="1"/>
      <w:numFmt w:val="bullet"/>
      <w:lvlText w:val="o"/>
      <w:lvlJc w:val="left"/>
      <w:pPr>
        <w:ind w:left="3600" w:hanging="360"/>
      </w:pPr>
      <w:rPr>
        <w:rFonts w:hint="default" w:ascii="Courier New" w:hAnsi="Courier New"/>
      </w:rPr>
    </w:lvl>
    <w:lvl w:ilvl="5" w:tplc="C9D0D4F6">
      <w:start w:val="1"/>
      <w:numFmt w:val="bullet"/>
      <w:lvlText w:val=""/>
      <w:lvlJc w:val="left"/>
      <w:pPr>
        <w:ind w:left="4320" w:hanging="360"/>
      </w:pPr>
      <w:rPr>
        <w:rFonts w:hint="default" w:ascii="Wingdings" w:hAnsi="Wingdings"/>
      </w:rPr>
    </w:lvl>
    <w:lvl w:ilvl="6" w:tplc="6B6207B2">
      <w:start w:val="1"/>
      <w:numFmt w:val="bullet"/>
      <w:lvlText w:val=""/>
      <w:lvlJc w:val="left"/>
      <w:pPr>
        <w:ind w:left="5040" w:hanging="360"/>
      </w:pPr>
      <w:rPr>
        <w:rFonts w:hint="default" w:ascii="Symbol" w:hAnsi="Symbol"/>
      </w:rPr>
    </w:lvl>
    <w:lvl w:ilvl="7" w:tplc="991E81D4">
      <w:start w:val="1"/>
      <w:numFmt w:val="bullet"/>
      <w:lvlText w:val="o"/>
      <w:lvlJc w:val="left"/>
      <w:pPr>
        <w:ind w:left="5760" w:hanging="360"/>
      </w:pPr>
      <w:rPr>
        <w:rFonts w:hint="default" w:ascii="Courier New" w:hAnsi="Courier New"/>
      </w:rPr>
    </w:lvl>
    <w:lvl w:ilvl="8" w:tplc="1FC4EE6E">
      <w:start w:val="1"/>
      <w:numFmt w:val="bullet"/>
      <w:lvlText w:val=""/>
      <w:lvlJc w:val="left"/>
      <w:pPr>
        <w:ind w:left="6480" w:hanging="360"/>
      </w:pPr>
      <w:rPr>
        <w:rFonts w:hint="default" w:ascii="Wingdings" w:hAnsi="Wingdings"/>
      </w:rPr>
    </w:lvl>
  </w:abstractNum>
  <w:abstractNum w:abstractNumId="3" w15:restartNumberingAfterBreak="0">
    <w:nsid w:val="46A147E5"/>
    <w:multiLevelType w:val="multilevel"/>
    <w:tmpl w:val="DAA805E4"/>
    <w:lvl w:ilvl="0">
      <w:start w:val="1"/>
      <w:numFmt w:val="bullet"/>
      <w:lvlText w:val=""/>
      <w:lvlJc w:val="left"/>
      <w:pPr>
        <w:tabs>
          <w:tab w:val="num" w:pos="707"/>
        </w:tabs>
        <w:ind w:left="707" w:hanging="283"/>
      </w:pPr>
      <w:rPr>
        <w:rFonts w:hint="default" w:ascii="Symbol" w:hAnsi="Symbol" w:cs="Symbol"/>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abstractNum w:abstractNumId="4" w15:restartNumberingAfterBreak="0">
    <w:nsid w:val="471B23CB"/>
    <w:multiLevelType w:val="multilevel"/>
    <w:tmpl w:val="AD507370"/>
    <w:lvl w:ilvl="0">
      <w:start w:val="1"/>
      <w:numFmt w:val="bullet"/>
      <w:lvlText w:val=""/>
      <w:lvlJc w:val="left"/>
      <w:pPr>
        <w:tabs>
          <w:tab w:val="num" w:pos="707"/>
        </w:tabs>
        <w:ind w:left="707" w:hanging="283"/>
      </w:pPr>
      <w:rPr>
        <w:rFonts w:hint="default" w:ascii="Symbol" w:hAnsi="Symbol" w:cs="Symbol"/>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abstractNum w:abstractNumId="5" w15:restartNumberingAfterBreak="0">
    <w:nsid w:val="4847038C"/>
    <w:multiLevelType w:val="multilevel"/>
    <w:tmpl w:val="633087DA"/>
    <w:lvl w:ilvl="0">
      <w:start w:val="1"/>
      <w:numFmt w:val="bullet"/>
      <w:lvlText w:val=""/>
      <w:lvlJc w:val="left"/>
      <w:pPr>
        <w:tabs>
          <w:tab w:val="num" w:pos="707"/>
        </w:tabs>
        <w:ind w:left="707" w:hanging="283"/>
      </w:pPr>
      <w:rPr>
        <w:rFonts w:hint="default" w:ascii="Symbol" w:hAnsi="Symbol" w:cs="Symbol"/>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num w:numId="1" w16cid:durableId="20514331">
    <w:abstractNumId w:val="2"/>
  </w:num>
  <w:num w:numId="2" w16cid:durableId="1907639494">
    <w:abstractNumId w:val="4"/>
  </w:num>
  <w:num w:numId="3" w16cid:durableId="1404522297">
    <w:abstractNumId w:val="1"/>
  </w:num>
  <w:num w:numId="4" w16cid:durableId="920874246">
    <w:abstractNumId w:val="0"/>
  </w:num>
  <w:num w:numId="5" w16cid:durableId="1265306145">
    <w:abstractNumId w:val="3"/>
  </w:num>
  <w:num w:numId="6" w16cid:durableId="406922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trackRevisions w:val="false"/>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50"/>
    <w:rsid w:val="000D5550"/>
    <w:rsid w:val="000E5236"/>
    <w:rsid w:val="00AD2681"/>
    <w:rsid w:val="0475B1B7"/>
    <w:rsid w:val="0CA758BA"/>
    <w:rsid w:val="10066B4F"/>
    <w:rsid w:val="22502B61"/>
    <w:rsid w:val="2B2D43B1"/>
    <w:rsid w:val="3D9A9CFC"/>
    <w:rsid w:val="437461F9"/>
    <w:rsid w:val="46A15CC2"/>
    <w:rsid w:val="4F889B18"/>
    <w:rsid w:val="564B7E2A"/>
    <w:rsid w:val="5791D82E"/>
    <w:rsid w:val="588FBD10"/>
    <w:rsid w:val="5DF7688B"/>
    <w:rsid w:val="7955EA66"/>
  </w:rsids>
  <m:mathPr>
    <m:mathFont m:val="Cambria Math"/>
    <m:brkBin m:val="before"/>
    <m:brkBinSub m:val="--"/>
    <m:smallFrac m:val="0"/>
    <m:dispDef/>
    <m:lMargin m:val="0"/>
    <m:rMargin m:val="0"/>
    <m:defJc m:val="centerGroup"/>
    <m:wrapIndent m:val="1440"/>
    <m:intLim m:val="subSup"/>
    <m:naryLim m:val="undOvr"/>
  </m:mathPr>
  <w:themeFontLang w:val="en-CH"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EE46CBC"/>
  <w15:chartTrackingRefBased/>
  <w15:docId w15:val="{73476C90-ADBB-DF46-AC2C-2B46026A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4"/>
        <w:szCs w:val="24"/>
        <w:lang w:val="en-CH"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22502B61"/>
    <w:rPr>
      <w:rFonts w:ascii="Garamond" w:hAnsi="Garamond" w:eastAsia="SimSun" w:cs="Lucida Sans"/>
      <w:lang w:val="en-GB" w:bidi="hi-IN"/>
    </w:rPr>
  </w:style>
  <w:style w:type="paragraph" w:styleId="Heading2">
    <w:name w:val="heading 2"/>
    <w:basedOn w:val="Normal"/>
    <w:next w:val="BodyText"/>
    <w:link w:val="Heading2Char"/>
    <w:uiPriority w:val="9"/>
    <w:unhideWhenUsed/>
    <w:qFormat/>
    <w:rsid w:val="22502B61"/>
    <w:pPr>
      <w:keepNext/>
      <w:spacing w:before="200" w:after="120"/>
      <w:outlineLvl w:val="1"/>
    </w:pPr>
    <w:rPr>
      <w:rFonts w:ascii="Liberation Serif" w:hAnsi="Liberation Serif"/>
      <w:b/>
      <w:bCs/>
      <w:sz w:val="36"/>
      <w:szCs w:val="36"/>
    </w:rPr>
  </w:style>
  <w:style w:type="paragraph" w:styleId="Heading3">
    <w:name w:val="heading 3"/>
    <w:basedOn w:val="Normal"/>
    <w:next w:val="BodyText"/>
    <w:link w:val="Heading3Char"/>
    <w:uiPriority w:val="9"/>
    <w:unhideWhenUsed/>
    <w:qFormat/>
    <w:rsid w:val="22502B61"/>
    <w:pPr>
      <w:keepNext/>
      <w:spacing w:before="140" w:after="120"/>
      <w:outlineLvl w:val="2"/>
    </w:pPr>
    <w:rPr>
      <w:rFonts w:ascii="Liberation Serif" w:hAnsi="Liberation Serif"/>
      <w:b/>
      <w:bCs/>
      <w:sz w:val="28"/>
      <w:szCs w:val="28"/>
    </w:rPr>
  </w:style>
  <w:style w:type="paragraph" w:styleId="Heading4">
    <w:name w:val="heading 4"/>
    <w:basedOn w:val="Normal"/>
    <w:next w:val="BodyText"/>
    <w:link w:val="Heading4Char"/>
    <w:uiPriority w:val="9"/>
    <w:unhideWhenUsed/>
    <w:qFormat/>
    <w:rsid w:val="22502B61"/>
    <w:pPr>
      <w:keepNext/>
      <w:spacing w:before="120" w:after="120"/>
      <w:outlineLvl w:val="3"/>
    </w:pPr>
    <w:rPr>
      <w:rFonts w:ascii="Liberation Serif" w:hAnsi="Liberation Serif"/>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0D5550"/>
    <w:rPr>
      <w:rFonts w:ascii="Liberation Serif" w:hAnsi="Liberation Serif" w:eastAsia="SimSun" w:cs="Lucida Sans"/>
      <w:b/>
      <w:bCs/>
      <w:sz w:val="36"/>
      <w:szCs w:val="36"/>
      <w:lang w:val="it-IT" w:bidi="hi-IN"/>
      <w14:ligatures w14:val="none"/>
    </w:rPr>
  </w:style>
  <w:style w:type="character" w:styleId="Heading3Char" w:customStyle="1">
    <w:name w:val="Heading 3 Char"/>
    <w:basedOn w:val="DefaultParagraphFont"/>
    <w:link w:val="Heading3"/>
    <w:uiPriority w:val="9"/>
    <w:rsid w:val="000D5550"/>
    <w:rPr>
      <w:rFonts w:ascii="Liberation Serif" w:hAnsi="Liberation Serif" w:eastAsia="SimSun" w:cs="Lucida Sans"/>
      <w:b/>
      <w:bCs/>
      <w:sz w:val="28"/>
      <w:szCs w:val="28"/>
      <w:lang w:val="it-IT" w:bidi="hi-IN"/>
      <w14:ligatures w14:val="none"/>
    </w:rPr>
  </w:style>
  <w:style w:type="character" w:styleId="Heading4Char" w:customStyle="1">
    <w:name w:val="Heading 4 Char"/>
    <w:basedOn w:val="DefaultParagraphFont"/>
    <w:link w:val="Heading4"/>
    <w:uiPriority w:val="9"/>
    <w:rsid w:val="000D5550"/>
    <w:rPr>
      <w:rFonts w:ascii="Liberation Serif" w:hAnsi="Liberation Serif" w:eastAsia="SimSun" w:cs="Lucida Sans"/>
      <w:b/>
      <w:bCs/>
      <w:lang w:val="it-IT" w:bidi="hi-IN"/>
      <w14:ligatures w14:val="none"/>
    </w:rPr>
  </w:style>
  <w:style w:type="character" w:styleId="StrongEmphasis" w:customStyle="1">
    <w:name w:val="Strong Emphasis"/>
    <w:qFormat/>
    <w:rsid w:val="000D5550"/>
    <w:rPr>
      <w:b/>
      <w:bCs/>
    </w:rPr>
  </w:style>
  <w:style w:type="paragraph" w:styleId="BodyText">
    <w:name w:val="Body Text"/>
    <w:basedOn w:val="Normal"/>
    <w:link w:val="BodyTextChar"/>
    <w:uiPriority w:val="1"/>
    <w:rsid w:val="22502B61"/>
    <w:pPr>
      <w:spacing w:after="140" w:line="276" w:lineRule="auto"/>
    </w:pPr>
  </w:style>
  <w:style w:type="character" w:styleId="BodyTextChar" w:customStyle="1">
    <w:name w:val="Body Text Char"/>
    <w:basedOn w:val="DefaultParagraphFont"/>
    <w:link w:val="BodyText"/>
    <w:rsid w:val="000D5550"/>
    <w:rPr>
      <w:rFonts w:ascii="Garamond" w:hAnsi="Garamond" w:eastAsia="SimSun" w:cs="Lucida Sans"/>
      <w:lang w:val="it-IT" w:bidi="hi-IN"/>
      <w14:ligatures w14:val="none"/>
    </w:rPr>
  </w:style>
  <w:style w:type="character" w:styleId="CommentReference">
    <w:name w:val="annotation reference"/>
    <w:basedOn w:val="DefaultParagraphFont"/>
    <w:uiPriority w:val="99"/>
    <w:semiHidden/>
    <w:unhideWhenUsed/>
    <w:rsid w:val="000D5550"/>
    <w:rPr>
      <w:sz w:val="16"/>
      <w:szCs w:val="16"/>
    </w:rPr>
  </w:style>
  <w:style w:type="paragraph" w:styleId="CommentText">
    <w:name w:val="annotation text"/>
    <w:basedOn w:val="Normal"/>
    <w:link w:val="CommentTextChar"/>
    <w:uiPriority w:val="99"/>
    <w:unhideWhenUsed/>
    <w:rsid w:val="22502B61"/>
    <w:rPr>
      <w:rFonts w:cs="Mangal"/>
      <w:sz w:val="20"/>
      <w:szCs w:val="20"/>
    </w:rPr>
  </w:style>
  <w:style w:type="character" w:styleId="CommentTextChar" w:customStyle="1">
    <w:name w:val="Comment Text Char"/>
    <w:basedOn w:val="DefaultParagraphFont"/>
    <w:link w:val="CommentText"/>
    <w:uiPriority w:val="99"/>
    <w:rsid w:val="000D5550"/>
    <w:rPr>
      <w:rFonts w:ascii="Garamond" w:hAnsi="Garamond" w:eastAsia="SimSun" w:cs="Mangal"/>
      <w:sz w:val="20"/>
      <w:szCs w:val="18"/>
      <w:lang w:val="it-IT"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48add2-1990-4ede-a16f-432cbd05b2cb">
      <Terms xmlns="http://schemas.microsoft.com/office/infopath/2007/PartnerControls"/>
    </lcf76f155ced4ddcb4097134ff3c332f>
    <TaxCatchAll xmlns="20c1abfa-485b-41c9-a329-38772ca1fd48" xsi:nil="true"/>
    <_dlc_DocId xmlns="b5aab738-2f7d-4cde-8d2b-eeae14c19eed">DOCID-5569591-9226</_dlc_DocId>
    <_dlc_DocIdUrl xmlns="b5aab738-2f7d-4cde-8d2b-eeae14c19eed">
      <Url>https://msfintl.sharepoint.com/sites/msfintlcommunities/Communication/_layouts/15/DocIdRedir.aspx?ID=DOCID-5569591-9226</Url>
      <Description>DOCID-5569591-9226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BA5DC059C8A8448DCB8AE942350056" ma:contentTypeVersion="15" ma:contentTypeDescription="Create a new document." ma:contentTypeScope="" ma:versionID="fa88a05d4445894e6a6f6bdf20552a5e">
  <xsd:schema xmlns:xsd="http://www.w3.org/2001/XMLSchema" xmlns:xs="http://www.w3.org/2001/XMLSchema" xmlns:p="http://schemas.microsoft.com/office/2006/metadata/properties" xmlns:ns2="b5aab738-2f7d-4cde-8d2b-eeae14c19eed" xmlns:ns3="6848add2-1990-4ede-a16f-432cbd05b2cb" xmlns:ns4="20c1abfa-485b-41c9-a329-38772ca1fd48" targetNamespace="http://schemas.microsoft.com/office/2006/metadata/properties" ma:root="true" ma:fieldsID="c205778e3fc3700dd55af66a79f05119" ns2:_="" ns3:_="" ns4:_="">
    <xsd:import namespace="b5aab738-2f7d-4cde-8d2b-eeae14c19eed"/>
    <xsd:import namespace="6848add2-1990-4ede-a16f-432cbd05b2cb"/>
    <xsd:import namespace="20c1abfa-485b-41c9-a329-38772ca1fd4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ab738-2f7d-4cde-8d2b-eeae14c19e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8add2-1990-4ede-a16f-432cbd05b2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9342e22-fe9a-44db-b5e4-308b8027cead}" ma:internalName="TaxCatchAll" ma:showField="CatchAllData" ma:web="b5aab738-2f7d-4cde-8d2b-eeae14c19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27322A-471D-4D84-A90F-1E90E3B6CB50}">
  <ds:schemaRefs>
    <ds:schemaRef ds:uri="http://schemas.microsoft.com/office/2006/metadata/properties"/>
    <ds:schemaRef ds:uri="http://schemas.microsoft.com/office/infopath/2007/PartnerControls"/>
    <ds:schemaRef ds:uri="bad75758-3838-4401-9842-a8ae136ec2cc"/>
    <ds:schemaRef ds:uri="94579eee-b9fe-4410-8c78-c18bafa39cf3"/>
  </ds:schemaRefs>
</ds:datastoreItem>
</file>

<file path=customXml/itemProps2.xml><?xml version="1.0" encoding="utf-8"?>
<ds:datastoreItem xmlns:ds="http://schemas.openxmlformats.org/officeDocument/2006/customXml" ds:itemID="{67CB38D6-ECA5-42DC-9838-1CA7B0C30A14}">
  <ds:schemaRefs>
    <ds:schemaRef ds:uri="http://schemas.microsoft.com/sharepoint/v3/contenttype/forms"/>
  </ds:schemaRefs>
</ds:datastoreItem>
</file>

<file path=customXml/itemProps3.xml><?xml version="1.0" encoding="utf-8"?>
<ds:datastoreItem xmlns:ds="http://schemas.openxmlformats.org/officeDocument/2006/customXml" ds:itemID="{E4233FCF-D2BF-49E3-892D-7BD68CA6DBA4}"/>
</file>

<file path=customXml/itemProps4.xml><?xml version="1.0" encoding="utf-8"?>
<ds:datastoreItem xmlns:ds="http://schemas.openxmlformats.org/officeDocument/2006/customXml" ds:itemID="{CC16C108-F95B-4574-BE31-E410D4A9C3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MSF Dubai</dc:creator>
  <keywords/>
  <dc:description/>
  <lastModifiedBy>Faris Al Jawad</lastModifiedBy>
  <revision>3</revision>
  <dcterms:created xsi:type="dcterms:W3CDTF">2025-07-09T06:10:00.0000000Z</dcterms:created>
  <dcterms:modified xsi:type="dcterms:W3CDTF">2025-07-09T15:28:16.9614265Z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0x0101007ABA5DC059C8A8448DCB8AE942350056</vt:lpwstr>
  </property>
  <property fmtid="{D5CDD505-2E9C-101B-9397-08002B2CF9AE}" pid="3" name="MediaServiceImageTags">
    <vt:lpwstr/>
  </property>
  <property fmtid="{D5CDD505-2E9C-101B-9397-08002B2CF9AE}" pid="4" name="_dlc_DocIdItemGuid">
    <vt:lpwstr>1f8ad536-84b2-4373-8681-d626f9d7f15c</vt:lpwstr>
  </property>
</Properties>
</file>